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67F43" w14:textId="61BC670E" w:rsidR="005F77B3" w:rsidRPr="005836AE" w:rsidRDefault="00F97C43">
      <w:pPr>
        <w:pStyle w:val="SmallText"/>
        <w:keepNext/>
        <w:spacing w:after="120"/>
        <w:rPr>
          <w:rFonts w:asciiTheme="majorHAnsi" w:hAnsiTheme="majorHAnsi" w:cstheme="majorHAnsi"/>
          <w:color w:val="auto"/>
          <w:sz w:val="24"/>
          <w:szCs w:val="24"/>
        </w:rPr>
      </w:pPr>
      <w:r>
        <w:rPr>
          <w:b/>
          <w:bCs/>
        </w:rPr>
        <w:t>| رام الله | 30 تشرين الأول/أكتوبر 2026</w:t>
      </w:r>
    </w:p>
    <w:p w14:paraId="211D086B" w14:textId="1D772374" w:rsidR="005F77B3" w:rsidRPr="005836AE" w:rsidRDefault="00F97C43">
      <w:pPr>
        <w:pStyle w:val="Title"/>
        <w:rPr>
          <w:rFonts w:cstheme="majorHAnsi"/>
          <w:color w:val="auto"/>
          <w:sz w:val="24"/>
          <w:szCs w:val="24"/>
        </w:rPr>
      </w:pPr>
      <w:r>
        <w:t xml:space="preserve">مسار عملي </w:t>
      </w:r>
      <w:r w:rsidR="00D82F69">
        <w:rPr>
          <w:rFonts w:hint="cs"/>
          <w:cs w:val="0"/>
        </w:rPr>
        <w:t xml:space="preserve">مقترح </w:t>
      </w:r>
      <w:r>
        <w:t>لإجراء الانتخابات الفلسطينية في موعد أقرب</w:t>
      </w:r>
    </w:p>
    <w:p w14:paraId="71D8AF35" w14:textId="77777777" w:rsidR="005F77B3" w:rsidRPr="005836AE" w:rsidRDefault="00F97C43">
      <w:pPr>
        <w:pStyle w:val="Lead"/>
        <w:rPr>
          <w:rFonts w:asciiTheme="majorHAnsi" w:hAnsiTheme="majorHAnsi" w:cstheme="majorHAnsi"/>
          <w:color w:val="auto"/>
          <w:sz w:val="24"/>
          <w:szCs w:val="24"/>
        </w:rPr>
      </w:pPr>
      <w:r>
        <w:t>من التأجيل إلى استئناف الاستعدادات الانتخابية والحوار الوطني والدعم الدولي العملي</w:t>
      </w:r>
    </w:p>
    <w:p w14:paraId="20C68941" w14:textId="77777777" w:rsidR="005F77B3" w:rsidRPr="005836AE" w:rsidRDefault="00F97C43">
      <w:pPr>
        <w:pStyle w:val="Heading1"/>
        <w:keepLines w:val="0"/>
        <w:rPr>
          <w:rFonts w:cstheme="majorHAnsi"/>
          <w:color w:val="auto"/>
          <w:szCs w:val="24"/>
        </w:rPr>
      </w:pPr>
      <w:r>
        <w:t>مقدمة</w:t>
      </w:r>
    </w:p>
    <w:p w14:paraId="7B8C45F8" w14:textId="11ECD9B6" w:rsidR="005F77B3" w:rsidRPr="005836AE" w:rsidRDefault="00F97C43">
      <w:pPr>
        <w:jc w:val="both"/>
        <w:rPr>
          <w:rFonts w:asciiTheme="majorHAnsi" w:hAnsiTheme="majorHAnsi" w:cstheme="majorHAnsi"/>
          <w:color w:val="auto"/>
          <w:sz w:val="24"/>
          <w:szCs w:val="24"/>
        </w:rPr>
      </w:pPr>
      <w:r>
        <w:t>عقب قرار تأجيل الانتخابات الرئاسية والتشريعية الفلسطينية إلى 11 أيلول/سبتمبر 2027، يسر مركز أفق الحرية للدراسات والأبحاث (</w:t>
      </w:r>
      <w:r w:rsidR="00D82F69">
        <w:rPr>
          <w:rtl w:val="0"/>
          <w:cs w:val="0"/>
        </w:rPr>
        <w:t>Horizon Center</w:t>
      </w:r>
      <w:r>
        <w:t>) أن ينشر هذه الورقة، استناداً إلى مناقشات داخلية مع متخصصين في القانون والسياسة ومشاركين من المجتمع المدني. وقد هدفت هذه المناقشات إلى دعم العملية الانتخابية، ومعالجة العقبات التي تحول دون إجراء اقتراع ذي مصداقية، وبحث إمكان إجراء الانتخابات قبل الموعد الجديد.</w:t>
      </w:r>
    </w:p>
    <w:p w14:paraId="4F65469C" w14:textId="77777777" w:rsidR="005F77B3" w:rsidRPr="005836AE" w:rsidRDefault="00F97C43">
      <w:pPr>
        <w:jc w:val="both"/>
        <w:rPr>
          <w:rFonts w:asciiTheme="majorHAnsi" w:hAnsiTheme="majorHAnsi" w:cstheme="majorHAnsi"/>
          <w:color w:val="auto"/>
          <w:sz w:val="24"/>
          <w:szCs w:val="24"/>
        </w:rPr>
      </w:pPr>
      <w:r>
        <w:t>أشارت القيادة الفلسطينية إلى إمكان النظر في موعد أقرب متى توافرت الظروف المناسبة. ويتيح هذا الموقف فرصة للمؤسسات الفلسطينية ومجموعات المجتمع المدني والشركاء الدوليين للعمل معاً على خطة واضحة. وينبغي أن يكون الهدف معالجة العقبات، بدلاً من الاكتفاء بانتظار تحسن الظروف.</w:t>
      </w:r>
    </w:p>
    <w:p w14:paraId="7B52B0E6" w14:textId="77777777" w:rsidR="005F77B3" w:rsidRPr="005836AE" w:rsidRDefault="00F97C43">
      <w:pPr>
        <w:pStyle w:val="Heading1"/>
        <w:keepLines w:val="0"/>
        <w:rPr>
          <w:rFonts w:cstheme="majorHAnsi"/>
          <w:color w:val="auto"/>
          <w:szCs w:val="24"/>
        </w:rPr>
      </w:pPr>
      <w:r>
        <w:t>مبررات النظر في تقديم موعد الانتخابات</w:t>
      </w:r>
    </w:p>
    <w:p w14:paraId="2E596CC7" w14:textId="77777777" w:rsidR="005F77B3" w:rsidRPr="005836AE" w:rsidRDefault="00F97C43">
      <w:pPr>
        <w:jc w:val="both"/>
        <w:rPr>
          <w:rFonts w:asciiTheme="majorHAnsi" w:hAnsiTheme="majorHAnsi" w:cstheme="majorHAnsi"/>
          <w:color w:val="auto"/>
          <w:sz w:val="24"/>
          <w:szCs w:val="24"/>
        </w:rPr>
      </w:pPr>
      <w:r>
        <w:t>أُجريت آخر انتخابات رئاسية فلسطينية عام 2005، وآخر انتخابات تشريعية عام 2006. ولم يسبق لكثير من الشباب الفلسطيني أن شاركوا في التصويت في انتخابات وطنية. وقد يسهم استئناف العملية الانتخابية في تعزيز تمثيل المواطنين، واستعادة الرقابة التشريعية، وإتاحة مجال قانوني للتنافس السياسي.</w:t>
      </w:r>
    </w:p>
    <w:p w14:paraId="37AEE6A2" w14:textId="77777777" w:rsidR="005F77B3" w:rsidRPr="005836AE" w:rsidRDefault="00F97C43">
      <w:pPr>
        <w:jc w:val="both"/>
        <w:rPr>
          <w:rFonts w:asciiTheme="majorHAnsi" w:hAnsiTheme="majorHAnsi" w:cstheme="majorHAnsi"/>
          <w:color w:val="auto"/>
          <w:sz w:val="24"/>
          <w:szCs w:val="24"/>
        </w:rPr>
      </w:pPr>
      <w:r>
        <w:t>ويجب كذلك أن تكون الانتخابات آمنة وشاملة وذات مصداقية، وأن يتمكن المواطنون في قطاع غزة والقدس الشرقية وبقية الضفة الغربية من ممارسة حقوقهم. لذلك، يجب أن يستند أي جدول زمني يقرّب موعد الانتخابات إلى تقييم تعلنه لجنة الانتخابات المركزية، يشمل المتطلبات القانونية والأمنية والعملية لإجراء الاقتراع.</w:t>
      </w:r>
    </w:p>
    <w:p w14:paraId="4BD2B49C" w14:textId="77777777" w:rsidR="005F77B3" w:rsidRPr="005836AE" w:rsidRDefault="00F97C43">
      <w:pPr>
        <w:pStyle w:val="Heading1"/>
        <w:keepLines w:val="0"/>
        <w:rPr>
          <w:rFonts w:cstheme="majorHAnsi"/>
          <w:color w:val="auto"/>
          <w:szCs w:val="24"/>
        </w:rPr>
      </w:pPr>
      <w:r>
        <w:t>العقبات حقيقية وتتطلب معالجات محددة</w:t>
      </w:r>
    </w:p>
    <w:p w14:paraId="6D67A3C1" w14:textId="77777777" w:rsidR="005F77B3" w:rsidRPr="005836AE" w:rsidRDefault="00F97C43">
      <w:pPr>
        <w:jc w:val="both"/>
        <w:rPr>
          <w:rFonts w:asciiTheme="majorHAnsi" w:hAnsiTheme="majorHAnsi" w:cstheme="majorHAnsi"/>
          <w:color w:val="auto"/>
          <w:sz w:val="24"/>
          <w:szCs w:val="24"/>
        </w:rPr>
      </w:pPr>
      <w:r>
        <w:t>تشمل الأسباب التي سِيقت لتأجيل الانتخابات القيود الإسرائيلية على التنقل والوصول، والصعوبات التي تواجه موظفي الانتخابات والمراقبين، والأوضاع الإنسانية والأمنية الاستثنائية في قطاع غزة. وهذه عقبات جدية، ولا سيما أمام المشاركة الفعلية في غزة والقدس الشرقية.</w:t>
      </w:r>
    </w:p>
    <w:p w14:paraId="3C021036" w14:textId="77777777" w:rsidR="005F77B3" w:rsidRPr="005836AE" w:rsidRDefault="00F97C43">
      <w:pPr>
        <w:jc w:val="both"/>
        <w:rPr>
          <w:rFonts w:asciiTheme="majorHAnsi" w:hAnsiTheme="majorHAnsi" w:cstheme="majorHAnsi"/>
          <w:color w:val="auto"/>
          <w:sz w:val="24"/>
          <w:szCs w:val="24"/>
        </w:rPr>
      </w:pPr>
      <w:r>
        <w:t>ولا تصلح معالجة واحدة لجميع الصعوبات؛ فبعضها يتطلب تغيير الإجراءات الإسرائيلية، وبعضها يستلزم قرارات إدارية فلسطينية، فيما يحتاج بعضها الآخر إلى تمويل أو تجهيزات أو توضيح قانوني أو مساعدة دولية. ومن المفيد البدء بنشر قائمة بالعقبات المتبقية، والإجراء المطلوب لمعالجة كل منها، والمؤسسة المسؤولة عن ذلك.</w:t>
      </w:r>
    </w:p>
    <w:p w14:paraId="3634AD14" w14:textId="77777777" w:rsidR="005F77B3" w:rsidRPr="005836AE" w:rsidRDefault="00F97C43">
      <w:pPr>
        <w:pStyle w:val="Heading1"/>
        <w:keepLines w:val="0"/>
        <w:rPr>
          <w:rFonts w:cstheme="majorHAnsi"/>
          <w:color w:val="auto"/>
          <w:szCs w:val="24"/>
        </w:rPr>
      </w:pPr>
      <w:r>
        <w:t>في حال استمرار القيود الإسرائيلية</w:t>
      </w:r>
    </w:p>
    <w:p w14:paraId="1DE09A5B" w14:textId="05983918" w:rsidR="005F77B3" w:rsidRPr="005836AE" w:rsidRDefault="00F97C43">
      <w:pPr>
        <w:jc w:val="both"/>
        <w:rPr>
          <w:rFonts w:asciiTheme="majorHAnsi" w:hAnsiTheme="majorHAnsi" w:cstheme="majorHAnsi"/>
          <w:color w:val="auto"/>
          <w:sz w:val="24"/>
          <w:szCs w:val="24"/>
        </w:rPr>
      </w:pPr>
      <w:r>
        <w:t>إذا استمرت العقبات الإسرائيلية، ينبغي بذل جهود دبلوماسية فلسطينية ودولية متواصلة لتأمين الضمانات اللازمة للوصول والتنقل وتنفيذ العمل الانتخابي. وينبغي أن يُطلب من الشركاء الدوليين المعنيين المساعدة في معالجة مشكلات محددة، بما في ذلك دخول طواقم لجنة الانتخابات المركزية والمواد الانتخابية والمراقبين المستقلين إلى جميع الأراضي الفلسطينية، بما فيها قطاع غزة.</w:t>
      </w:r>
    </w:p>
    <w:p w14:paraId="4C8E507A" w14:textId="3BD30F0F" w:rsidR="005F77B3" w:rsidRPr="005836AE" w:rsidRDefault="00F97C43">
      <w:pPr>
        <w:jc w:val="both"/>
        <w:rPr>
          <w:rFonts w:asciiTheme="majorHAnsi" w:hAnsiTheme="majorHAnsi" w:cstheme="majorHAnsi"/>
          <w:color w:val="auto"/>
          <w:sz w:val="24"/>
          <w:szCs w:val="24"/>
        </w:rPr>
      </w:pPr>
      <w:r>
        <w:t xml:space="preserve">وفي الوقت نفسه، ينبغي للجنة الانتخابات المركزية والسلطات الفلسطينية وممثلي المجتمع المدني والشركاء الدوليين بحث ترتيبات مبتكرة تتوافق عليها الجهات المعنية، في حدود ما يسمح به القانون. وقد تشمل هذه الترتيبات مواقع </w:t>
      </w:r>
      <w:r>
        <w:lastRenderedPageBreak/>
        <w:t>بديلة لتسجيل الناخبين، ومراكز اقتراع إضافية، وتدابير خاصة للناخبين النازحين، وإجراءات تخضع لإشراف دقيق لخدمة التجمعات السكانية التي يصعب الوصول إليها. ويجب أن يخضع أي مقترح للمراجعة القانونية، وأن يتسم بالشفافية والأمان، وأن يحظى بالموافقة عبر المؤسسات الفلسطينية المختصة؛ ولا يجوز اتخاذ الترتيبات البديلة مبرراً لاستبعاد الناخبين المستوفين لشروط الاقتراع.</w:t>
      </w:r>
    </w:p>
    <w:p w14:paraId="0AB233BD" w14:textId="77777777" w:rsidR="005F77B3" w:rsidRPr="005836AE" w:rsidRDefault="00F97C43">
      <w:pPr>
        <w:pStyle w:val="Heading1"/>
        <w:keepLines w:val="0"/>
        <w:rPr>
          <w:rFonts w:cstheme="majorHAnsi"/>
          <w:color w:val="auto"/>
          <w:szCs w:val="24"/>
        </w:rPr>
      </w:pPr>
      <w:r>
        <w:t>مسار واقعي نحو الاقتراع في موعد أقرب</w:t>
      </w:r>
    </w:p>
    <w:p w14:paraId="71777DD9" w14:textId="38F1AB48" w:rsidR="005F77B3" w:rsidRPr="005836AE" w:rsidRDefault="00F97C43">
      <w:pPr>
        <w:jc w:val="both"/>
        <w:rPr>
          <w:rFonts w:asciiTheme="majorHAnsi" w:hAnsiTheme="majorHAnsi" w:cstheme="majorHAnsi"/>
          <w:color w:val="auto"/>
          <w:sz w:val="24"/>
          <w:szCs w:val="24"/>
        </w:rPr>
      </w:pPr>
      <w:r>
        <w:t>يقترح مركز أفق دعوة لجنة الانتخابات المركزية إلى تقييم إمكان إجراء انتخابات رئاسية وتشريعية متزامنة في النصف الأول من عام 2027. ويمكن بحث الأشهر الممتدة من آذار/مارس إلى حزيران/يونيو بوصفها فترات محتملة لإجراء الانتخابات، دون الإعلان عنها باعتبارها مواعيد متفقاً عليها. وينبغي للجنة أن تحدد ما يمكن إنجازه من الناحيتين الفنية والقانونية، بما في ذلك المدة اللازمة لتسجيل الناخبين والترشح والاعتراضات والرقابة والاقتراع.</w:t>
      </w:r>
    </w:p>
    <w:p w14:paraId="1023E3C6" w14:textId="77777777" w:rsidR="005F77B3" w:rsidRPr="005836AE" w:rsidRDefault="00F97C43">
      <w:pPr>
        <w:jc w:val="both"/>
        <w:rPr>
          <w:rFonts w:asciiTheme="majorHAnsi" w:hAnsiTheme="majorHAnsi" w:cstheme="majorHAnsi"/>
          <w:color w:val="auto"/>
          <w:sz w:val="24"/>
          <w:szCs w:val="24"/>
        </w:rPr>
      </w:pPr>
      <w:r>
        <w:t>إذا تبيّن إمكان تقديم الموعد، يمكن للرئاسة النظر في جدول زمني جديد يستند إلى هذا التقييم. أما إذا تعذر ذلك في الوقت الراهن، فينبغي أن تقترن الاستعدادات للموعد الحالي في أيلول/سبتمبر 2027 بمراحل إنجاز شهرية واضحة، وتقارير معلنة للجمهور، وموعد محدد لإعادة بحث إمكان تقديم موعد الانتخابات.</w:t>
      </w:r>
    </w:p>
    <w:p w14:paraId="4BE5D2CF" w14:textId="77777777" w:rsidR="005F77B3" w:rsidRPr="005836AE" w:rsidRDefault="00F97C43">
      <w:pPr>
        <w:pStyle w:val="Heading1"/>
        <w:keepLines w:val="0"/>
        <w:rPr>
          <w:rFonts w:cstheme="majorHAnsi"/>
          <w:color w:val="auto"/>
          <w:szCs w:val="24"/>
        </w:rPr>
      </w:pPr>
      <w:r>
        <w:t>المضي بالتجديد السياسي بالتوازي مع التحضير للانتخابات</w:t>
      </w:r>
    </w:p>
    <w:p w14:paraId="4AD52BA9" w14:textId="796A5214" w:rsidR="005F77B3" w:rsidRPr="005836AE" w:rsidRDefault="00F97C43">
      <w:pPr>
        <w:jc w:val="both"/>
        <w:rPr>
          <w:rFonts w:asciiTheme="majorHAnsi" w:hAnsiTheme="majorHAnsi" w:cstheme="majorHAnsi"/>
          <w:color w:val="auto"/>
          <w:sz w:val="24"/>
          <w:szCs w:val="24"/>
        </w:rPr>
      </w:pPr>
      <w:r>
        <w:t>يمكن للاستعداد للانتخابات أن يسهم أيضاً في انفتاح الحياة السياسية. ويدعم مركز أفق إجراء مناقشات واسعة بين القوى السياسية والمبادرات المستقلة والنقابات المهنية والنساء والشباب ومنظمات المجتمع المدني، بما يشمل مشاركين من غزة والقدس الشرقية. وينبغي أن تهدف هذه المناقشات إلى تحديد مجالات عملية للتوافق، دون اشتراط الإجماع لمواصلة الاستعدادات الانتخابية.</w:t>
      </w:r>
    </w:p>
    <w:p w14:paraId="6EF8D1C7" w14:textId="77777777" w:rsidR="005F77B3" w:rsidRPr="005836AE" w:rsidRDefault="00F97C43">
      <w:pPr>
        <w:jc w:val="both"/>
        <w:rPr>
          <w:rFonts w:asciiTheme="majorHAnsi" w:hAnsiTheme="majorHAnsi" w:cstheme="majorHAnsi"/>
          <w:color w:val="auto"/>
          <w:sz w:val="24"/>
          <w:szCs w:val="24"/>
        </w:rPr>
      </w:pPr>
      <w:r w:rsidRPr="00D82F69">
        <w:rPr>
          <w:b/>
          <w:bCs/>
        </w:rPr>
        <w:t xml:space="preserve">ويمثل وضع قانون حديث للأحزاب السياسية </w:t>
      </w:r>
      <w:r>
        <w:t>جانباً مفيداً آخر من هذا النقاش. وينبغي أن يحمي هذا القانون حرية التنظيم السياسي، وأن يضع قواعد عادلة وشفافة للتسجيل، وأن يشجع التنافس السياسي في إطار من المساءلة. ويجب أن يجري بحث هذا القانون بالتوازي مع الاستعدادات الانتخابية، وألا يتحول إلى سبب جديد لتأجيل الانتخابات.</w:t>
      </w:r>
    </w:p>
    <w:p w14:paraId="5A94A1E6" w14:textId="77777777" w:rsidR="005F77B3" w:rsidRPr="005836AE" w:rsidRDefault="00F97C43">
      <w:pPr>
        <w:pStyle w:val="Heading1"/>
        <w:keepLines w:val="0"/>
        <w:rPr>
          <w:rFonts w:cstheme="majorHAnsi"/>
          <w:color w:val="auto"/>
          <w:szCs w:val="24"/>
        </w:rPr>
      </w:pPr>
      <w:r>
        <w:t>خمس خطوات عملية مقبلة</w:t>
      </w:r>
    </w:p>
    <w:p w14:paraId="1313CFE5" w14:textId="77777777" w:rsidR="005F77B3" w:rsidRPr="005836AE" w:rsidRDefault="00F97C43">
      <w:pPr>
        <w:keepLines/>
        <w:jc w:val="both"/>
        <w:rPr>
          <w:rFonts w:asciiTheme="majorHAnsi" w:hAnsiTheme="majorHAnsi" w:cstheme="majorHAnsi"/>
          <w:color w:val="auto"/>
          <w:sz w:val="24"/>
          <w:szCs w:val="24"/>
        </w:rPr>
      </w:pPr>
      <w:r>
        <w:rPr>
          <w:b/>
          <w:bCs/>
        </w:rPr>
        <w:t xml:space="preserve">1. طلب تقييم من لجنة الانتخابات المركزية. </w:t>
      </w:r>
      <w:r>
        <w:t>إعلان أقرب فترة زمنية يمكن إجراء الانتخابات خلالها قانونياً وعملياً، مع توضيح الأسباب والشروط الأساسية.</w:t>
      </w:r>
    </w:p>
    <w:p w14:paraId="7A1B47C6" w14:textId="77777777" w:rsidR="005F77B3" w:rsidRPr="005836AE" w:rsidRDefault="00F97C43">
      <w:pPr>
        <w:keepLines/>
        <w:jc w:val="both"/>
        <w:rPr>
          <w:rFonts w:asciiTheme="majorHAnsi" w:hAnsiTheme="majorHAnsi" w:cstheme="majorHAnsi"/>
          <w:color w:val="auto"/>
          <w:sz w:val="24"/>
          <w:szCs w:val="24"/>
        </w:rPr>
      </w:pPr>
      <w:r>
        <w:rPr>
          <w:b/>
          <w:bCs/>
        </w:rPr>
        <w:t xml:space="preserve">2. الاتفاق على خطة عمل تتناول كل عقبة على حدة. </w:t>
      </w:r>
      <w:r>
        <w:t>تحديد المهام والجهات المسؤولة والموارد والمواعيد النهائية في ما يخص غزة والقدس الشرقية وبقية الضفة الغربية.</w:t>
      </w:r>
    </w:p>
    <w:p w14:paraId="039D70FE" w14:textId="77777777" w:rsidR="005F77B3" w:rsidRPr="005836AE" w:rsidRDefault="00F97C43">
      <w:pPr>
        <w:keepLines/>
        <w:jc w:val="both"/>
        <w:rPr>
          <w:rFonts w:asciiTheme="majorHAnsi" w:hAnsiTheme="majorHAnsi" w:cstheme="majorHAnsi"/>
          <w:color w:val="auto"/>
          <w:sz w:val="24"/>
          <w:szCs w:val="24"/>
        </w:rPr>
      </w:pPr>
      <w:r>
        <w:rPr>
          <w:b/>
          <w:bCs/>
        </w:rPr>
        <w:t xml:space="preserve">3. إشراك الشركاء الدوليين في معالجة عقبات محددة. </w:t>
      </w:r>
      <w:r>
        <w:t>السعي إلى ضمانات عملية للوصول، ومساعدة فنية، ورقابة انتخابية، مع بقاء زمام العملية بأيدي الفلسطينيين.</w:t>
      </w:r>
    </w:p>
    <w:p w14:paraId="4A046FB4" w14:textId="77777777" w:rsidR="005F77B3" w:rsidRPr="005836AE" w:rsidRDefault="00F97C43">
      <w:pPr>
        <w:keepLines/>
        <w:jc w:val="both"/>
        <w:rPr>
          <w:rFonts w:asciiTheme="majorHAnsi" w:hAnsiTheme="majorHAnsi" w:cstheme="majorHAnsi"/>
          <w:color w:val="auto"/>
          <w:sz w:val="24"/>
          <w:szCs w:val="24"/>
        </w:rPr>
      </w:pPr>
      <w:r>
        <w:rPr>
          <w:b/>
          <w:bCs/>
        </w:rPr>
        <w:t xml:space="preserve">4. التشاور مع مكونات المجتمع الفلسطيني. </w:t>
      </w:r>
      <w:r>
        <w:t>دعوة القوى السياسية والنقابات والخبراء القانونيين والمجموعات الشبابية والنسائية إلى مراجعة الحلول والضمانات.</w:t>
      </w:r>
    </w:p>
    <w:p w14:paraId="273E2568" w14:textId="77777777" w:rsidR="005F77B3" w:rsidRPr="005836AE" w:rsidRDefault="00F97C43">
      <w:pPr>
        <w:keepLines/>
        <w:jc w:val="both"/>
        <w:rPr>
          <w:rFonts w:asciiTheme="majorHAnsi" w:hAnsiTheme="majorHAnsi" w:cstheme="majorHAnsi"/>
          <w:color w:val="auto"/>
          <w:sz w:val="24"/>
          <w:szCs w:val="24"/>
        </w:rPr>
      </w:pPr>
      <w:r>
        <w:rPr>
          <w:b/>
          <w:bCs/>
        </w:rPr>
        <w:t xml:space="preserve">5. مراجعة التقدم المحرز خلال 90 يوماً. </w:t>
      </w:r>
      <w:r>
        <w:t>إعلان قرار يحدد ما إذا كان بالإمكان تقديم الموعد، ونشر تقارير دورية إذا استلزم الأمر مزيداً من العمل.</w:t>
      </w:r>
    </w:p>
    <w:p w14:paraId="162DD888" w14:textId="77777777" w:rsidR="005F77B3" w:rsidRPr="005836AE" w:rsidRDefault="00F97C43">
      <w:pPr>
        <w:pStyle w:val="Heading1"/>
        <w:keepLines w:val="0"/>
        <w:rPr>
          <w:rFonts w:cstheme="majorHAnsi"/>
          <w:color w:val="auto"/>
          <w:szCs w:val="24"/>
        </w:rPr>
      </w:pPr>
      <w:r>
        <w:lastRenderedPageBreak/>
        <w:t>خاتمة</w:t>
      </w:r>
    </w:p>
    <w:p w14:paraId="77D89366" w14:textId="77777777" w:rsidR="005F77B3" w:rsidRPr="005836AE" w:rsidRDefault="00F97C43">
      <w:pPr>
        <w:jc w:val="both"/>
        <w:rPr>
          <w:rFonts w:asciiTheme="majorHAnsi" w:hAnsiTheme="majorHAnsi" w:cstheme="majorHAnsi"/>
          <w:color w:val="auto"/>
          <w:sz w:val="24"/>
          <w:szCs w:val="24"/>
        </w:rPr>
      </w:pPr>
      <w:r>
        <w:t>لا يستلزم تأجيل الانتخابات تأجيل الاستعدادات لها أو إرجاء التجديد السياسي. ويطرح مركز أفق هذه المقترحات إسهاماً في نقاش فلسطيني أوسع. وتتمثل الفرصة المتاحة الآن في جمع المؤسسات والقوى السياسية والمجتمع المدني والشركاء الدوليين حول جهد عملي لتجاوز العقبات وبحث إمكان إجراء اقتراع حر وشامل في موعد أقرب.</w:t>
      </w:r>
    </w:p>
    <w:p w14:paraId="4A9BA086" w14:textId="77777777" w:rsidR="005F77B3" w:rsidRPr="005836AE" w:rsidRDefault="00F97C43">
      <w:pPr>
        <w:jc w:val="both"/>
        <w:rPr>
          <w:rFonts w:asciiTheme="majorHAnsi" w:hAnsiTheme="majorHAnsi" w:cstheme="majorHAnsi"/>
          <w:color w:val="auto"/>
          <w:sz w:val="24"/>
          <w:szCs w:val="24"/>
        </w:rPr>
      </w:pPr>
      <w:r>
        <w:t>ولا يتمثل الهدف في التعجيل بالانتخابات على حساب مصداقيتها، بل في بذل كل جهد معقول لإجرائها في أقرب موعد تسمح به الظروف وأحكام القانون، مع إبقاء الجمهور على اطلاع بما تبقى من خطوات ينبغي إنجازها.</w:t>
      </w:r>
    </w:p>
    <w:p w14:paraId="4F6A00E2" w14:textId="77777777" w:rsidR="005F77B3" w:rsidRPr="005836AE" w:rsidRDefault="00F97C43">
      <w:pPr>
        <w:pStyle w:val="Heading1"/>
        <w:keepLines w:val="0"/>
        <w:rPr>
          <w:rFonts w:cstheme="majorHAnsi"/>
          <w:color w:val="auto"/>
          <w:szCs w:val="24"/>
        </w:rPr>
      </w:pPr>
      <w:r>
        <w:t>مصادر مرجعية</w:t>
      </w:r>
    </w:p>
    <w:p w14:paraId="30B0AD87" w14:textId="5EA19538" w:rsidR="005F77B3" w:rsidRPr="005836AE" w:rsidRDefault="00F97C43">
      <w:pPr>
        <w:pStyle w:val="SmallText"/>
        <w:keepLines/>
        <w:rPr>
          <w:rFonts w:asciiTheme="majorHAnsi" w:hAnsiTheme="majorHAnsi" w:cstheme="majorHAnsi"/>
          <w:color w:val="auto"/>
          <w:sz w:val="24"/>
          <w:szCs w:val="24"/>
        </w:rPr>
      </w:pPr>
      <w:r>
        <w:t xml:space="preserve">• الرئاسة الفلسطينية، 10 تشرين الأول/أكتوبر 2026 — مرسوم يعلن إجراء انتخابات متزامنة في 11 أيلول/سبتمبر 2027. </w:t>
      </w:r>
      <w:hyperlink r:id="rId8" w:history="1">
        <w:r>
          <w:rPr>
            <w:color w:val="0563C1"/>
            <w:u w:val="single"/>
          </w:rPr>
          <w:t>المصدر (للاطلاع عبر الإنترنت)</w:t>
        </w:r>
      </w:hyperlink>
    </w:p>
    <w:p w14:paraId="04FDDC34" w14:textId="5CB3162D" w:rsidR="005F77B3" w:rsidRPr="005836AE" w:rsidRDefault="00F97C43">
      <w:pPr>
        <w:pStyle w:val="SmallText"/>
        <w:keepLines/>
        <w:rPr>
          <w:rFonts w:asciiTheme="majorHAnsi" w:hAnsiTheme="majorHAnsi" w:cstheme="majorHAnsi"/>
          <w:color w:val="auto"/>
          <w:sz w:val="24"/>
          <w:szCs w:val="24"/>
        </w:rPr>
      </w:pPr>
      <w:r>
        <w:t xml:space="preserve">• لجنة الانتخابات المركزية، 19 تشرين الأول/أكتوبر 2026 — اجتماع اللجنة مع نائب الرئيس حسين الشيخ. </w:t>
      </w:r>
      <w:hyperlink r:id="rId9" w:history="1">
        <w:r>
          <w:rPr>
            <w:color w:val="0563C1"/>
            <w:u w:val="single"/>
          </w:rPr>
          <w:t>المصدر (للاطلاع عبر الإنترنت)</w:t>
        </w:r>
      </w:hyperlink>
    </w:p>
    <w:p w14:paraId="19F5674C" w14:textId="77777777" w:rsidR="005F77B3" w:rsidRPr="005836AE" w:rsidRDefault="00F97C43">
      <w:pPr>
        <w:pStyle w:val="SmallText"/>
        <w:keepLines/>
        <w:spacing w:before="100"/>
        <w:jc w:val="both"/>
        <w:rPr>
          <w:rFonts w:asciiTheme="majorHAnsi" w:hAnsiTheme="majorHAnsi" w:cstheme="majorHAnsi"/>
          <w:color w:val="auto"/>
          <w:sz w:val="24"/>
          <w:szCs w:val="24"/>
        </w:rPr>
      </w:pPr>
      <w:r>
        <w:rPr>
          <w:b/>
          <w:bCs/>
        </w:rPr>
        <w:t xml:space="preserve">ملاحظة تحريرية: </w:t>
      </w:r>
      <w:r>
        <w:t>تعكس هذه الورقة الخلاصة التي صاغها مركز أفق لمناقشاته ومقترحاته في مجال السياسات. ولا تعني أن موعداً أقرب للانتخابات قد اتُّفق عليه رسمياً، أو أن جميع المشاركين أيدوا كل توصية وردت فيها.</w:t>
      </w:r>
    </w:p>
    <w:sectPr w:rsidR="005F77B3" w:rsidRPr="005836AE" w:rsidSect="00034616">
      <w:headerReference w:type="default" r:id="rId10"/>
      <w:footerReference w:type="default" r:id="rId11"/>
      <w:pgSz w:w="11909" w:h="16834"/>
      <w:pgMar w:top="2131" w:right="1267" w:bottom="965" w:left="1267" w:header="432"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1F4A1" w14:textId="77777777" w:rsidR="00B67902" w:rsidRDefault="00B67902">
      <w:pPr>
        <w:spacing w:after="0" w:line="240" w:lineRule="auto"/>
      </w:pPr>
      <w:r>
        <w:separator/>
      </w:r>
    </w:p>
  </w:endnote>
  <w:endnote w:type="continuationSeparator" w:id="0">
    <w:p w14:paraId="4FB503FD" w14:textId="77777777" w:rsidR="00B67902" w:rsidRDefault="00B67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386076"/>
      <w:docPartObj>
        <w:docPartGallery w:val="Page Numbers (Bottom of Page)"/>
        <w:docPartUnique/>
      </w:docPartObj>
    </w:sdtPr>
    <w:sdtEndPr>
      <w:rPr>
        <w:noProof/>
      </w:rPr>
    </w:sdtEndPr>
    <w:sdtContent>
      <w:p w14:paraId="42C3D9C9" w14:textId="2A7E5A67" w:rsidR="00817DD5" w:rsidRDefault="00817D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49DDBD" w14:textId="7E8EAE5B" w:rsidR="005F77B3" w:rsidRDefault="005F77B3">
    <w:pPr>
      <w:pStyle w:val="SmallTex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116D" w14:textId="77777777" w:rsidR="00B67902" w:rsidRDefault="00B67902">
      <w:pPr>
        <w:spacing w:after="0" w:line="240" w:lineRule="auto"/>
      </w:pPr>
      <w:r>
        <w:separator/>
      </w:r>
    </w:p>
  </w:footnote>
  <w:footnote w:type="continuationSeparator" w:id="0">
    <w:p w14:paraId="2246BCAE" w14:textId="77777777" w:rsidR="00B67902" w:rsidRDefault="00B67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842B" w14:textId="15E0C4DB" w:rsidR="005F77B3" w:rsidRPr="003F059E" w:rsidRDefault="00427EDB">
    <w:pPr>
      <w:pStyle w:val="SmallText"/>
      <w:spacing w:after="20"/>
      <w:rPr>
        <w:color w:val="auto"/>
      </w:rPr>
    </w:pPr>
    <w:r>
      <w:rPr>
        <w:noProof/>
        <w:lang w:val="en-GB" w:eastAsia="en-GB"/>
      </w:rPr>
      <w:drawing>
        <wp:inline distT="0" distB="0" distL="0" distR="0" wp14:anchorId="6AECB942" wp14:editId="168BFF8E">
          <wp:extent cx="5943600" cy="966470"/>
          <wp:effectExtent l="0" t="0" r="0" b="5080"/>
          <wp:docPr id="895874846" name="Picture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5943600" cy="966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3629023">
    <w:abstractNumId w:val="8"/>
  </w:num>
  <w:num w:numId="2" w16cid:durableId="523402543">
    <w:abstractNumId w:val="6"/>
  </w:num>
  <w:num w:numId="3" w16cid:durableId="2121945161">
    <w:abstractNumId w:val="5"/>
  </w:num>
  <w:num w:numId="4" w16cid:durableId="661857613">
    <w:abstractNumId w:val="4"/>
  </w:num>
  <w:num w:numId="5" w16cid:durableId="1050811590">
    <w:abstractNumId w:val="7"/>
  </w:num>
  <w:num w:numId="6" w16cid:durableId="1100875410">
    <w:abstractNumId w:val="3"/>
  </w:num>
  <w:num w:numId="7" w16cid:durableId="2070153012">
    <w:abstractNumId w:val="2"/>
  </w:num>
  <w:num w:numId="8" w16cid:durableId="968827516">
    <w:abstractNumId w:val="1"/>
  </w:num>
  <w:num w:numId="9" w16cid:durableId="864102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023"/>
    <w:rsid w:val="0015074B"/>
    <w:rsid w:val="0029639D"/>
    <w:rsid w:val="00326F90"/>
    <w:rsid w:val="003F059E"/>
    <w:rsid w:val="004057AF"/>
    <w:rsid w:val="00427EDB"/>
    <w:rsid w:val="00473E97"/>
    <w:rsid w:val="005836AE"/>
    <w:rsid w:val="005F77B3"/>
    <w:rsid w:val="00817DD5"/>
    <w:rsid w:val="008913B7"/>
    <w:rsid w:val="00AA1D8D"/>
    <w:rsid w:val="00AA5168"/>
    <w:rsid w:val="00B47730"/>
    <w:rsid w:val="00B67902"/>
    <w:rsid w:val="00CB0664"/>
    <w:rsid w:val="00CB0BC5"/>
    <w:rsid w:val="00D82F69"/>
    <w:rsid w:val="00F97C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84D4B0"/>
  <w14:defaultImageDpi w14:val="300"/>
  <w15:docId w15:val="{A2F368A3-9862-4558-8126-88B468637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bidi/>
      <w:spacing w:after="120"/>
    </w:pPr>
    <w:rPr>
      <w:rFonts w:ascii="Arial" w:eastAsia="Arial" w:hAnsi="Arial" w:cs="Arial"/>
      <w:color w:val="000000"/>
      <w:sz w:val="26"/>
      <w:szCs w:val="26"/>
      <w:rtl/>
      <w:cs/>
    </w:rPr>
  </w:style>
  <w:style w:type="paragraph" w:styleId="Heading1">
    <w:name w:val="heading 1"/>
    <w:basedOn w:val="Normal"/>
    <w:next w:val="Normal"/>
    <w:link w:val="Heading1Char"/>
    <w:uiPriority w:val="9"/>
    <w:qFormat/>
    <w:rsid w:val="00FC693F"/>
    <w:pPr>
      <w:keepNext/>
      <w:keepLines/>
      <w:spacing w:before="220" w:after="10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8304B"/>
      <w:sz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rPr>
      <w:sz w:val="20"/>
      <w:szCs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rPr>
      <w:sz w:val="20"/>
      <w:szCs w:val="20"/>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contextualSpacing/>
    </w:pPr>
    <w:rPr>
      <w:b/>
      <w:bCs/>
      <w:sz w:val="34"/>
      <w:szCs w:val="34"/>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basedOn w:val="Normal"/>
    <w:pPr>
      <w:keepNext/>
      <w:spacing w:after="160"/>
    </w:pPr>
    <w:rPr>
      <w:sz w:val="25"/>
      <w:szCs w:val="25"/>
    </w:rPr>
  </w:style>
  <w:style w:type="paragraph" w:customStyle="1" w:styleId="SmallText">
    <w:name w:val="SmallText"/>
    <w:basedOn w:val="Normal"/>
    <w:pPr>
      <w:spacing w:after="100"/>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ident.ps/Eng/NewsPage/49320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lections.ps/TabId/1083/ArtMID/9183/ArticleID/5450/CEC%E2%80%99s-Chairman-Meets-the-Vice-President-of-the-State-of-Palestine-Discussing-Preparations-for-Conducting-Presidential-and-Legislative-Election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مسار عملي لإجراء الانتخابات الفلسطينية في موعد أقرب</dc:title>
  <dc:subject>النسخة العربية من ورقة مركز أفق حول تقديم موعد الانتخابات الفلسطينية</dc:subject>
  <dc:creator>مركز أفق الحرية للدراسات والأبحاث</dc:creator>
  <cp:keywords>الانتخابات الفلسطينية، مركز أفق، التجديد السياسي</cp:keywords>
  <dc:description>generated by python-docx</dc:description>
  <cp:lastModifiedBy>Ibrahim Dalalsha</cp:lastModifiedBy>
  <cp:revision>2</cp:revision>
  <dcterms:created xsi:type="dcterms:W3CDTF">2026-11-02T15:01:00Z</dcterms:created>
  <dcterms:modified xsi:type="dcterms:W3CDTF">2026-11-02T15:01:00Z</dcterms:modified>
  <cp:category/>
  <dc:language>ar-PS</dc:language>
</cp:coreProperties>
</file>